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93" w:rsidRPr="00C500F6" w:rsidRDefault="00990493" w:rsidP="00990493">
      <w:pPr>
        <w:wordWrap/>
        <w:autoSpaceDE/>
        <w:autoSpaceDN/>
        <w:spacing w:after="0" w:line="480" w:lineRule="auto"/>
        <w:rPr>
          <w:rFonts w:cs="Times New Roman"/>
          <w:color w:val="000000" w:themeColor="text1"/>
          <w:sz w:val="22"/>
          <w:szCs w:val="22"/>
          <w:lang w:eastAsia="zh-TW"/>
        </w:rPr>
      </w:pPr>
      <w:r>
        <w:rPr>
          <w:rFonts w:cs="Times New Roman"/>
          <w:b/>
          <w:bCs/>
          <w:color w:val="000000" w:themeColor="text1"/>
          <w:sz w:val="22"/>
          <w:szCs w:val="22"/>
        </w:rPr>
        <w:t>Supplement 9.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The </w:t>
      </w:r>
      <w:r w:rsidRPr="00681DCC">
        <w:rPr>
          <w:rFonts w:cs="Times New Roman"/>
          <w:color w:val="000000" w:themeColor="text1"/>
          <w:sz w:val="22"/>
          <w:szCs w:val="22"/>
          <w:lang w:eastAsia="zh-TW"/>
        </w:rPr>
        <w:t>distribution of 5th- and 6th-year medical students’ 1st- and 2nd-score of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self-assessed efficacy in control</w:t>
      </w:r>
      <w:r w:rsidRPr="00C500F6">
        <w:rPr>
          <w:rFonts w:eastAsia="PMingLiU" w:cs="Times New Roman"/>
          <w:color w:val="000000" w:themeColor="text1"/>
          <w:sz w:val="22"/>
          <w:szCs w:val="22"/>
          <w:lang w:eastAsia="zh-TW"/>
        </w:rPr>
        <w:t xml:space="preserve"> 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>and SG groups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2019"/>
        <w:gridCol w:w="1986"/>
        <w:gridCol w:w="992"/>
        <w:gridCol w:w="2129"/>
        <w:gridCol w:w="1986"/>
        <w:gridCol w:w="1137"/>
        <w:gridCol w:w="1926"/>
      </w:tblGrid>
      <w:tr w:rsidR="00990493" w:rsidRPr="00681DCC" w:rsidTr="00E47897">
        <w:trPr>
          <w:trHeight w:val="305"/>
        </w:trPr>
        <w:tc>
          <w:tcPr>
            <w:tcW w:w="55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493" w:rsidRPr="00681DCC" w:rsidRDefault="00990493" w:rsidP="00E47897">
            <w:pPr>
              <w:wordWrap/>
              <w:spacing w:line="480" w:lineRule="auto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bookmarkStart w:id="0" w:name="_Hlk110620713"/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Statements of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br/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checklists</w:t>
            </w:r>
          </w:p>
        </w:tc>
        <w:tc>
          <w:tcPr>
            <w:tcW w:w="3741" w:type="pct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9D551F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1st score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of self-assessed efficacy</w:t>
            </w:r>
          </w:p>
        </w:tc>
        <w:tc>
          <w:tcPr>
            <w:tcW w:w="70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9D551F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2nd </w:t>
            </w:r>
            <w:proofErr w:type="spellStart"/>
            <w:r w:rsidRPr="009D551F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score</w:t>
            </w:r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  <w:t>a</w:t>
            </w:r>
            <w:proofErr w:type="spellEnd"/>
            <w:r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  <w:t>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9D551F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5th-year med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ical students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value</w:t>
            </w:r>
          </w:p>
        </w:tc>
        <w:tc>
          <w:tcPr>
            <w:tcW w:w="1502" w:type="pct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9D551F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6th-year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medical students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value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Overall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(N=145)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Control group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(N=12)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SG group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(N=13)</w:t>
            </w:r>
          </w:p>
        </w:tc>
        <w:tc>
          <w:tcPr>
            <w:tcW w:w="362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Control group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(N=57)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SG group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(N=63)</w:t>
            </w:r>
          </w:p>
        </w:tc>
        <w:tc>
          <w:tcPr>
            <w:tcW w:w="415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tcBorders>
              <w:top w:val="single" w:sz="4" w:space="0" w:color="auto"/>
              <w:bottom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No. in ETI</w:t>
            </w:r>
          </w:p>
        </w:tc>
        <w:tc>
          <w:tcPr>
            <w:tcW w:w="737" w:type="pct"/>
            <w:tcBorders>
              <w:top w:val="single" w:sz="4" w:space="0" w:color="auto"/>
              <w:bottom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bottom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03" w:type="pct"/>
            <w:tcBorders>
              <w:top w:val="single" w:sz="4" w:space="0" w:color="auto"/>
              <w:bottom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tcBorders>
              <w:top w:val="nil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ET1</w:t>
            </w:r>
          </w:p>
        </w:tc>
        <w:tc>
          <w:tcPr>
            <w:tcW w:w="737" w:type="pct"/>
            <w:tcBorders>
              <w:top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1.00±1.04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0.34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1.66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  <w:tcBorders>
              <w:top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1.23±1.01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0.62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1.84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2" w:type="pct"/>
            <w:tcBorders>
              <w:top w:val="nil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0.58</w:t>
            </w:r>
          </w:p>
        </w:tc>
        <w:tc>
          <w:tcPr>
            <w:tcW w:w="777" w:type="pct"/>
            <w:tcBorders>
              <w:top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1.3±0.96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1.04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1.55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  <w:tcBorders>
              <w:top w:val="nil"/>
            </w:tcBorders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1.62±0.79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1.42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1.82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pct"/>
            <w:tcBorders>
              <w:top w:val="nil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0.04</w:t>
            </w:r>
          </w:p>
        </w:tc>
        <w:tc>
          <w:tcPr>
            <w:tcW w:w="703" w:type="pct"/>
            <w:tcBorders>
              <w:top w:val="nil"/>
            </w:tcBorders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2.00</w:t>
            </w:r>
            <w:r>
              <w:rPr>
                <w:rFonts w:eastAsia="PMingLiU"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  <w:t>b)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ET2</w:t>
            </w:r>
          </w:p>
        </w:tc>
        <w:tc>
          <w:tcPr>
            <w:tcW w:w="73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1.50±0.90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0.93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2.07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1.38±0.96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0.80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1.97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2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0.76</w:t>
            </w:r>
          </w:p>
        </w:tc>
        <w:tc>
          <w:tcPr>
            <w:tcW w:w="77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1.61±0.80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1.40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1.83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1.56±0.84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1.34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1.77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0.69</w:t>
            </w:r>
          </w:p>
        </w:tc>
        <w:tc>
          <w:tcPr>
            <w:tcW w:w="703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2.00</w:t>
            </w:r>
            <w:r>
              <w:rPr>
                <w:rFonts w:eastAsia="PMingLiU"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  <w:t>b)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ET3</w:t>
            </w:r>
          </w:p>
        </w:tc>
        <w:tc>
          <w:tcPr>
            <w:tcW w:w="73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1.50±0.90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0.93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2.07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1.38±0.96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0.80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1.97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2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0.76</w:t>
            </w:r>
          </w:p>
        </w:tc>
        <w:tc>
          <w:tcPr>
            <w:tcW w:w="77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1.54±0.85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1.32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1.77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1.30±0.96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1.06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1.54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0.14</w:t>
            </w:r>
          </w:p>
        </w:tc>
        <w:tc>
          <w:tcPr>
            <w:tcW w:w="703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2.00</w:t>
            </w:r>
            <w:r>
              <w:rPr>
                <w:rFonts w:eastAsia="PMingLiU"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  <w:t>b)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ET4</w:t>
            </w:r>
          </w:p>
        </w:tc>
        <w:tc>
          <w:tcPr>
            <w:tcW w:w="73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1.83±0.58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1.47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2.20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1.38±0.96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0.80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1.97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2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0.17</w:t>
            </w:r>
          </w:p>
        </w:tc>
        <w:tc>
          <w:tcPr>
            <w:tcW w:w="77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1.72±0.70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1.53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1.91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1.49±0.88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1.27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1.71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0.12</w:t>
            </w:r>
          </w:p>
        </w:tc>
        <w:tc>
          <w:tcPr>
            <w:tcW w:w="703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2.00</w:t>
            </w:r>
            <w:r>
              <w:rPr>
                <w:rFonts w:eastAsia="PMingLiU" w:cs="Times New Roman"/>
                <w:color w:val="000000" w:themeColor="text1"/>
                <w:sz w:val="18"/>
                <w:szCs w:val="18"/>
                <w:vertAlign w:val="superscript"/>
                <w:lang w:eastAsia="zh-TW"/>
              </w:rPr>
              <w:t>b)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No. in CVC</w:t>
            </w:r>
          </w:p>
        </w:tc>
        <w:tc>
          <w:tcPr>
            <w:tcW w:w="73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7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  <w:tc>
          <w:tcPr>
            <w:tcW w:w="703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CVC1</w:t>
            </w:r>
          </w:p>
        </w:tc>
        <w:tc>
          <w:tcPr>
            <w:tcW w:w="73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0.83±1.03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0.18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1.49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0.77±1.01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0.16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1.38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2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0.87</w:t>
            </w:r>
          </w:p>
        </w:tc>
        <w:tc>
          <w:tcPr>
            <w:tcW w:w="77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1.09±1.01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0.82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1.35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1.02±1.01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0.76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1.27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0.69</w:t>
            </w:r>
          </w:p>
        </w:tc>
        <w:tc>
          <w:tcPr>
            <w:tcW w:w="703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1.99±0.17 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1.96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2.01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CVC2</w:t>
            </w:r>
          </w:p>
        </w:tc>
        <w:tc>
          <w:tcPr>
            <w:tcW w:w="73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0.67±0.98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0.04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1.29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0.77±1.01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0.16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1.38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2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0.80</w:t>
            </w:r>
          </w:p>
        </w:tc>
        <w:tc>
          <w:tcPr>
            <w:tcW w:w="77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0.91±1.01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0.65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1.18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0.73±0.97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0.49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0.97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0.31</w:t>
            </w:r>
          </w:p>
        </w:tc>
        <w:tc>
          <w:tcPr>
            <w:tcW w:w="703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1.93±0.37 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1.87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1.99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CVC3</w:t>
            </w:r>
          </w:p>
        </w:tc>
        <w:tc>
          <w:tcPr>
            <w:tcW w:w="73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0.83±1.03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0.18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1.49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0.77±1.01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0.16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1.38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2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0.87</w:t>
            </w:r>
          </w:p>
        </w:tc>
        <w:tc>
          <w:tcPr>
            <w:tcW w:w="77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1.09±1.01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0.82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1.35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0.95±1.01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0.70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1.21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0.46</w:t>
            </w:r>
          </w:p>
        </w:tc>
        <w:tc>
          <w:tcPr>
            <w:tcW w:w="703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1.94±0.33 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1.89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2.00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</w:tr>
      <w:tr w:rsidR="00990493" w:rsidRPr="00681DCC" w:rsidTr="00E47897">
        <w:trPr>
          <w:trHeight w:val="305"/>
        </w:trPr>
        <w:tc>
          <w:tcPr>
            <w:tcW w:w="556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ind w:leftChars="150" w:left="300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CVC4</w:t>
            </w:r>
          </w:p>
        </w:tc>
        <w:tc>
          <w:tcPr>
            <w:tcW w:w="73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0.67±0.98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0.04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1.29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0.77±1.01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0.16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1.38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62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0.80</w:t>
            </w:r>
          </w:p>
        </w:tc>
        <w:tc>
          <w:tcPr>
            <w:tcW w:w="777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1.09±1.01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0.82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1.35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25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color w:val="000000" w:themeColor="text1"/>
                <w:sz w:val="18"/>
                <w:szCs w:val="18"/>
              </w:rPr>
              <w:t>0.83±0.99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681DCC">
              <w:rPr>
                <w:color w:val="000000" w:themeColor="text1"/>
                <w:sz w:val="18"/>
                <w:szCs w:val="18"/>
              </w:rPr>
              <w:t>0.58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color w:val="000000" w:themeColor="text1"/>
                <w:sz w:val="18"/>
                <w:szCs w:val="18"/>
              </w:rPr>
              <w:t>1.08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15" w:type="pct"/>
            <w:hideMark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0.15</w:t>
            </w:r>
          </w:p>
        </w:tc>
        <w:tc>
          <w:tcPr>
            <w:tcW w:w="703" w:type="pct"/>
          </w:tcPr>
          <w:p w:rsidR="00990493" w:rsidRPr="00681DCC" w:rsidRDefault="00990493" w:rsidP="00E47897">
            <w:pPr>
              <w:wordWrap/>
              <w:autoSpaceDE/>
              <w:autoSpaceDN/>
              <w:spacing w:line="480" w:lineRule="auto"/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</w:pP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 xml:space="preserve">1.92±0.40 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1.85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Pr="00681DCC"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1.98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</w:tr>
    </w:tbl>
    <w:bookmarkEnd w:id="0"/>
    <w:p w:rsidR="00990493" w:rsidRDefault="00990493" w:rsidP="00990493">
      <w:pPr>
        <w:wordWrap/>
        <w:autoSpaceDE/>
        <w:autoSpaceDN/>
        <w:spacing w:beforeLines="50" w:before="120" w:after="0" w:line="480" w:lineRule="auto"/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</w:pP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Values are presented as mean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</w:t>
      </w:r>
      <w:proofErr w:type="spellStart"/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score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±standard</w:t>
      </w:r>
      <w:proofErr w:type="spellEnd"/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 xml:space="preserve"> deviation </w:t>
      </w:r>
      <w:r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(95% confidence interval)</w:t>
      </w:r>
      <w:r w:rsidRPr="00850C02">
        <w:rPr>
          <w:rFonts w:eastAsia="PMingLiU" w:cs="Times New Roman"/>
          <w:bCs/>
          <w:color w:val="000000" w:themeColor="text1"/>
          <w:sz w:val="22"/>
          <w:szCs w:val="22"/>
          <w:lang w:eastAsia="zh-TW"/>
        </w:rPr>
        <w:t>.</w:t>
      </w:r>
    </w:p>
    <w:p w:rsidR="00990493" w:rsidRPr="00C500F6" w:rsidRDefault="00990493" w:rsidP="00990493">
      <w:pPr>
        <w:wordWrap/>
        <w:spacing w:after="0" w:line="480" w:lineRule="auto"/>
        <w:rPr>
          <w:rFonts w:cs="Arial"/>
          <w:iCs/>
          <w:color w:val="000000" w:themeColor="text1"/>
          <w:sz w:val="22"/>
          <w:szCs w:val="22"/>
        </w:rPr>
      </w:pPr>
      <w:r>
        <w:rPr>
          <w:rFonts w:cs="Times New Roman" w:hint="eastAsia"/>
          <w:bCs/>
          <w:color w:val="000000" w:themeColor="text1"/>
          <w:kern w:val="0"/>
          <w:sz w:val="22"/>
          <w:szCs w:val="22"/>
        </w:rPr>
        <w:t>S</w:t>
      </w:r>
      <w:r>
        <w:rPr>
          <w:rFonts w:cs="Times New Roman"/>
          <w:bCs/>
          <w:color w:val="000000" w:themeColor="text1"/>
          <w:kern w:val="0"/>
          <w:sz w:val="22"/>
          <w:szCs w:val="22"/>
        </w:rPr>
        <w:t>G, s</w:t>
      </w:r>
      <w:r w:rsidRPr="0021077E"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>mart glasses</w:t>
      </w:r>
      <w:r>
        <w:rPr>
          <w:rFonts w:eastAsia="PMingLiU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;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ETI, e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ndotracheal intubation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;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 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  <w:lang w:eastAsia="zh-TW"/>
        </w:rPr>
        <w:t xml:space="preserve">CVC, </w:t>
      </w:r>
      <w:r w:rsidRPr="00E86F21"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central venous catheterization</w:t>
      </w:r>
      <w:r>
        <w:rPr>
          <w:rFonts w:eastAsia="DFKai-SB" w:cs="Times New Roman"/>
          <w:bCs/>
          <w:color w:val="000000" w:themeColor="text1"/>
          <w:kern w:val="0"/>
          <w:sz w:val="22"/>
          <w:szCs w:val="22"/>
        </w:rPr>
        <w:t>.</w:t>
      </w:r>
    </w:p>
    <w:p w:rsidR="00990493" w:rsidRPr="00C500F6" w:rsidRDefault="00990493" w:rsidP="00990493">
      <w:pPr>
        <w:wordWrap/>
        <w:autoSpaceDE/>
        <w:autoSpaceDN/>
        <w:spacing w:after="0" w:line="480" w:lineRule="auto"/>
        <w:rPr>
          <w:rFonts w:eastAsia="PMingLiU" w:cs="Times New Roman"/>
          <w:color w:val="000000" w:themeColor="text1"/>
          <w:sz w:val="22"/>
          <w:szCs w:val="22"/>
          <w:lang w:eastAsia="zh-TW"/>
        </w:rPr>
      </w:pPr>
      <w:proofErr w:type="gramStart"/>
      <w:r>
        <w:rPr>
          <w:rFonts w:cs="Times New Roman"/>
          <w:color w:val="000000" w:themeColor="text1"/>
          <w:sz w:val="22"/>
          <w:szCs w:val="22"/>
          <w:vertAlign w:val="superscript"/>
          <w:lang w:eastAsia="zh-TW"/>
        </w:rPr>
        <w:t>a)</w:t>
      </w:r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>Score</w:t>
      </w:r>
      <w:proofErr w:type="gramEnd"/>
      <w:r w:rsidRPr="00C500F6">
        <w:rPr>
          <w:rFonts w:cs="Times New Roman"/>
          <w:color w:val="000000" w:themeColor="text1"/>
          <w:sz w:val="22"/>
          <w:szCs w:val="22"/>
          <w:lang w:eastAsia="zh-TW"/>
        </w:rPr>
        <w:t xml:space="preserve"> of self-assessed </w:t>
      </w:r>
      <w:r w:rsidRPr="00064AE2">
        <w:rPr>
          <w:rFonts w:cs="Times New Roman"/>
          <w:color w:val="000000" w:themeColor="text1"/>
          <w:sz w:val="22"/>
          <w:szCs w:val="22"/>
          <w:lang w:eastAsia="zh-TW"/>
        </w:rPr>
        <w:t xml:space="preserve">efficacy. </w:t>
      </w:r>
      <w:proofErr w:type="gramStart"/>
      <w:r w:rsidRPr="00064AE2">
        <w:rPr>
          <w:rFonts w:cs="Times New Roman"/>
          <w:color w:val="000000" w:themeColor="text1"/>
          <w:sz w:val="22"/>
          <w:szCs w:val="22"/>
          <w:vertAlign w:val="superscript"/>
          <w:lang w:eastAsia="zh-TW"/>
        </w:rPr>
        <w:t>b)</w:t>
      </w:r>
      <w:r w:rsidRPr="00064AE2">
        <w:rPr>
          <w:rFonts w:eastAsia="PMingLiU" w:cs="Times New Roman"/>
          <w:color w:val="000000" w:themeColor="text1"/>
          <w:sz w:val="22"/>
          <w:szCs w:val="22"/>
          <w:lang w:eastAsia="zh-TW"/>
        </w:rPr>
        <w:t>All</w:t>
      </w:r>
      <w:proofErr w:type="gramEnd"/>
      <w:r w:rsidRPr="00064AE2">
        <w:rPr>
          <w:rFonts w:eastAsia="PMingLiU" w:cs="Times New Roman"/>
          <w:color w:val="000000" w:themeColor="text1"/>
          <w:sz w:val="22"/>
          <w:szCs w:val="22"/>
          <w:lang w:eastAsia="zh-TW"/>
        </w:rPr>
        <w:t xml:space="preserve"> data were 2.00.</w:t>
      </w:r>
    </w:p>
    <w:p w:rsidR="00724A50" w:rsidRPr="00990493" w:rsidRDefault="00724A50" w:rsidP="00990493">
      <w:pPr>
        <w:widowControl/>
        <w:wordWrap/>
        <w:autoSpaceDE/>
        <w:autoSpaceDN/>
        <w:spacing w:after="0" w:line="480" w:lineRule="auto"/>
        <w:rPr>
          <w:rFonts w:eastAsia="PMingLiU" w:cs="Times New Roman" w:hint="eastAsia"/>
          <w:color w:val="000000" w:themeColor="text1"/>
          <w:sz w:val="22"/>
          <w:szCs w:val="22"/>
          <w:lang w:eastAsia="zh-TW"/>
        </w:rPr>
      </w:pPr>
      <w:bookmarkStart w:id="1" w:name="_GoBack"/>
      <w:bookmarkEnd w:id="1"/>
    </w:p>
    <w:sectPr w:rsidR="00724A50" w:rsidRPr="00990493" w:rsidSect="0099049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 U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JhengHei"/>
    <w:charset w:val="88"/>
    <w:family w:val="script"/>
    <w:pitch w:val="fixed"/>
    <w:sig w:usb0="00000000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93"/>
    <w:rsid w:val="00724A50"/>
    <w:rsid w:val="0099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66F3"/>
  <w15:chartTrackingRefBased/>
  <w15:docId w15:val="{B54D23E9-DD12-48CD-BD8B-05413679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93"/>
    <w:pPr>
      <w:widowControl w:val="0"/>
      <w:wordWrap w:val="0"/>
      <w:autoSpaceDE w:val="0"/>
      <w:autoSpaceDN w:val="0"/>
    </w:pPr>
    <w:rPr>
      <w:rFonts w:ascii="Garamond" w:hAnsi="Garamond"/>
      <w:color w:val="C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93"/>
    <w:pPr>
      <w:spacing w:after="0" w:line="240" w:lineRule="auto"/>
    </w:pPr>
    <w:rPr>
      <w:rFonts w:ascii="Garamond" w:hAnsi="Garamond"/>
      <w:color w:val="C0000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</dc:creator>
  <cp:keywords/>
  <dc:description/>
  <cp:lastModifiedBy>cmc</cp:lastModifiedBy>
  <cp:revision>1</cp:revision>
  <dcterms:created xsi:type="dcterms:W3CDTF">2022-09-28T06:55:00Z</dcterms:created>
  <dcterms:modified xsi:type="dcterms:W3CDTF">2022-09-28T07:00:00Z</dcterms:modified>
</cp:coreProperties>
</file>