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1C075" w14:textId="77777777" w:rsidR="0049124A" w:rsidRPr="009E70BC" w:rsidRDefault="0049124A" w:rsidP="0049124A">
      <w:pPr>
        <w:spacing w:line="480" w:lineRule="auto"/>
        <w:rPr>
          <w:rFonts w:ascii="Garamond" w:hAnsi="Garamond" w:cstheme="minorHAnsi"/>
          <w:b/>
          <w:sz w:val="20"/>
          <w:szCs w:val="20"/>
        </w:rPr>
      </w:pPr>
      <w:r>
        <w:rPr>
          <w:rFonts w:ascii="Garamond" w:hAnsi="Garamond" w:hint="eastAsia"/>
          <w:b/>
          <w:sz w:val="20"/>
          <w:szCs w:val="20"/>
          <w:lang w:eastAsia="ko-KR"/>
        </w:rPr>
        <w:t xml:space="preserve">Supplement 2. </w:t>
      </w:r>
      <w:r w:rsidRPr="00AA326D">
        <w:rPr>
          <w:rFonts w:ascii="Garamond" w:hAnsi="Garamond"/>
          <w:b/>
          <w:sz w:val="20"/>
          <w:szCs w:val="20"/>
        </w:rPr>
        <w:t xml:space="preserve"> </w:t>
      </w:r>
      <w:r w:rsidRPr="009E70BC">
        <w:rPr>
          <w:rFonts w:ascii="Garamond" w:hAnsi="Garamond" w:cstheme="minorHAnsi"/>
          <w:b/>
          <w:sz w:val="20"/>
          <w:szCs w:val="20"/>
        </w:rPr>
        <w:t xml:space="preserve">Procedure for model assessment and data analysis </w:t>
      </w:r>
    </w:p>
    <w:p w14:paraId="70313406" w14:textId="77777777" w:rsidR="0049124A" w:rsidRPr="003B4648" w:rsidRDefault="0049124A" w:rsidP="0049124A">
      <w:pPr>
        <w:spacing w:line="480" w:lineRule="auto"/>
        <w:jc w:val="both"/>
        <w:rPr>
          <w:rFonts w:ascii="Garamond" w:hAnsi="Garamond" w:cstheme="minorHAnsi"/>
          <w:b/>
          <w:sz w:val="20"/>
          <w:szCs w:val="20"/>
        </w:rPr>
      </w:pPr>
      <w:r w:rsidRPr="003B4648">
        <w:rPr>
          <w:rFonts w:ascii="Garamond" w:hAnsi="Garamond" w:cstheme="minorHAnsi"/>
          <w:b/>
          <w:sz w:val="20"/>
          <w:szCs w:val="20"/>
        </w:rPr>
        <w:t>Confirmatory tetrad analysis</w:t>
      </w:r>
    </w:p>
    <w:p w14:paraId="2AA5BD1F" w14:textId="77777777" w:rsidR="0049124A" w:rsidRPr="009E70BC" w:rsidRDefault="0049124A" w:rsidP="0049124A">
      <w:pPr>
        <w:spacing w:line="480" w:lineRule="auto"/>
        <w:jc w:val="both"/>
        <w:rPr>
          <w:rFonts w:ascii="Garamond" w:hAnsi="Garamond"/>
          <w:sz w:val="20"/>
          <w:szCs w:val="20"/>
        </w:rPr>
      </w:pPr>
      <w:r w:rsidRPr="009E70BC">
        <w:rPr>
          <w:rFonts w:ascii="Garamond" w:hAnsi="Garamond" w:cstheme="minorHAnsi"/>
          <w:sz w:val="20"/>
          <w:szCs w:val="20"/>
        </w:rPr>
        <w:t>The initial approach was to determine whether the model was formative or reflective. Confirmatory tetrad analysis (CTA)</w:t>
      </w:r>
      <w:r>
        <w:rPr>
          <w:rFonts w:ascii="Garamond" w:hAnsi="Garamond" w:cstheme="minorHAnsi"/>
          <w:sz w:val="20"/>
          <w:szCs w:val="20"/>
        </w:rPr>
        <w:t xml:space="preserve"> is</w:t>
      </w:r>
      <w:r w:rsidRPr="009E70BC">
        <w:rPr>
          <w:rFonts w:ascii="Garamond" w:hAnsi="Garamond" w:cstheme="minorHAnsi"/>
          <w:sz w:val="20"/>
          <w:szCs w:val="20"/>
        </w:rPr>
        <w:t xml:space="preserve"> a method of testing and comparing the fit of an SEM-based on tetrads (difference in the product of pairs of covariance observed variables</w:t>
      </w:r>
      <w:r>
        <w:rPr>
          <w:rFonts w:ascii="Garamond" w:hAnsi="Garamond" w:cstheme="minorHAnsi"/>
          <w:sz w:val="20"/>
          <w:szCs w:val="20"/>
        </w:rPr>
        <w:t>)</w:t>
      </w:r>
      <w:r w:rsidRPr="009E70BC">
        <w:rPr>
          <w:rFonts w:ascii="Garamond" w:hAnsi="Garamond" w:cstheme="minorHAnsi"/>
          <w:sz w:val="20"/>
          <w:szCs w:val="20"/>
        </w:rPr>
        <w:t xml:space="preserve">. CTA PLS was used selecting a two tails test, parallel processing, 5,000 iterations bootstrap and alpha 0.1. Then </w:t>
      </w:r>
      <w:r w:rsidRPr="009E70BC">
        <w:rPr>
          <w:rFonts w:ascii="Garamond" w:hAnsi="Garamond"/>
          <w:sz w:val="20"/>
          <w:szCs w:val="20"/>
        </w:rPr>
        <w:t>the evaluation of the model was conducted using the reflective model (steps 1 and 2) and the structural model (steps 3 to 6).</w:t>
      </w:r>
    </w:p>
    <w:p w14:paraId="33551A2A" w14:textId="77777777" w:rsidR="0049124A" w:rsidRPr="009E70BC" w:rsidRDefault="0049124A" w:rsidP="0049124A">
      <w:pPr>
        <w:spacing w:line="480" w:lineRule="auto"/>
        <w:jc w:val="both"/>
        <w:rPr>
          <w:rFonts w:ascii="Garamond" w:hAnsi="Garamond"/>
          <w:b/>
          <w:sz w:val="20"/>
          <w:szCs w:val="20"/>
        </w:rPr>
      </w:pPr>
      <w:r w:rsidRPr="009E70BC">
        <w:rPr>
          <w:rFonts w:ascii="Garamond" w:hAnsi="Garamond"/>
          <w:b/>
          <w:sz w:val="20"/>
          <w:szCs w:val="20"/>
        </w:rPr>
        <w:t>The outer model (reflective)</w:t>
      </w:r>
    </w:p>
    <w:p w14:paraId="62D9972C" w14:textId="77777777" w:rsidR="0049124A" w:rsidRDefault="0049124A" w:rsidP="0049124A">
      <w:pPr>
        <w:spacing w:line="480" w:lineRule="auto"/>
        <w:jc w:val="both"/>
        <w:rPr>
          <w:rFonts w:ascii="Garamond" w:hAnsi="Garamond"/>
          <w:sz w:val="20"/>
          <w:szCs w:val="20"/>
        </w:rPr>
      </w:pPr>
      <w:r w:rsidRPr="009E70BC">
        <w:rPr>
          <w:rFonts w:ascii="Garamond" w:hAnsi="Garamond"/>
          <w:sz w:val="20"/>
          <w:szCs w:val="20"/>
        </w:rPr>
        <w:t xml:space="preserve">Step 1: An iterative algorithm with 300 iterations (PLS algorithm) was used to determine the internal consistency and reliability using </w:t>
      </w:r>
      <w:proofErr w:type="spellStart"/>
      <w:r w:rsidRPr="009E70BC">
        <w:rPr>
          <w:rFonts w:ascii="Garamond" w:hAnsi="Garamond"/>
          <w:sz w:val="20"/>
          <w:szCs w:val="20"/>
        </w:rPr>
        <w:t>Cronbach's</w:t>
      </w:r>
      <w:proofErr w:type="spellEnd"/>
      <w:r w:rsidRPr="009E70BC">
        <w:rPr>
          <w:rFonts w:ascii="Garamond" w:hAnsi="Garamond"/>
          <w:sz w:val="20"/>
          <w:szCs w:val="20"/>
        </w:rPr>
        <w:t xml:space="preserve"> alpha ≥0.70 as the lower bound, composite reliability (CR≥0.70) using </w:t>
      </w:r>
      <w:proofErr w:type="spellStart"/>
      <w:r w:rsidRPr="009E70BC">
        <w:rPr>
          <w:rFonts w:ascii="Garamond" w:hAnsi="Garamond"/>
          <w:sz w:val="20"/>
          <w:szCs w:val="20"/>
        </w:rPr>
        <w:t>Dijkstra-Henseler’s</w:t>
      </w:r>
      <w:proofErr w:type="spellEnd"/>
      <w:r w:rsidRPr="009E70BC">
        <w:rPr>
          <w:rFonts w:ascii="Garamond" w:hAnsi="Garamond"/>
          <w:sz w:val="20"/>
          <w:szCs w:val="20"/>
        </w:rPr>
        <w:t xml:space="preserve"> </w:t>
      </w:r>
      <w:proofErr w:type="spellStart"/>
      <w:r w:rsidRPr="009E70BC">
        <w:rPr>
          <w:rFonts w:ascii="Garamond" w:hAnsi="Garamond"/>
          <w:sz w:val="20"/>
          <w:szCs w:val="20"/>
        </w:rPr>
        <w:t>rho</w:t>
      </w:r>
      <w:r w:rsidRPr="009E70BC">
        <w:rPr>
          <w:rFonts w:ascii="Garamond" w:hAnsi="Garamond"/>
          <w:sz w:val="20"/>
          <w:szCs w:val="20"/>
          <w:vertAlign w:val="subscript"/>
        </w:rPr>
        <w:t>A</w:t>
      </w:r>
      <w:proofErr w:type="spellEnd"/>
      <w:r w:rsidRPr="009E70BC">
        <w:rPr>
          <w:rFonts w:ascii="Garamond" w:hAnsi="Garamond"/>
          <w:sz w:val="20"/>
          <w:szCs w:val="20"/>
          <w:vertAlign w:val="subscript"/>
        </w:rPr>
        <w:t xml:space="preserve"> </w:t>
      </w:r>
      <w:r w:rsidRPr="009E70BC">
        <w:rPr>
          <w:rFonts w:ascii="Garamond" w:hAnsi="Garamond"/>
          <w:sz w:val="20"/>
          <w:szCs w:val="20"/>
        </w:rPr>
        <w:t>(</w:t>
      </w:r>
      <w:r w:rsidRPr="009E70BC">
        <w:rPr>
          <w:rFonts w:ascii="Cambria Math" w:hAnsi="Cambria Math" w:cs="Cambria Math"/>
          <w:sz w:val="20"/>
          <w:szCs w:val="20"/>
        </w:rPr>
        <w:t>⍴</w:t>
      </w:r>
      <w:r w:rsidRPr="009E70BC">
        <w:rPr>
          <w:rFonts w:ascii="Garamond" w:hAnsi="Garamond"/>
          <w:sz w:val="20"/>
          <w:szCs w:val="20"/>
          <w:vertAlign w:val="subscript"/>
        </w:rPr>
        <w:t>A</w:t>
      </w:r>
      <w:r w:rsidRPr="009E70BC">
        <w:rPr>
          <w:rFonts w:ascii="Garamond" w:hAnsi="Garamond"/>
          <w:sz w:val="20"/>
          <w:szCs w:val="20"/>
        </w:rPr>
        <w:t>)</w:t>
      </w:r>
      <w:r w:rsidRPr="009E70BC">
        <w:rPr>
          <w:rFonts w:ascii="Garamond" w:hAnsi="Garamond"/>
          <w:sz w:val="20"/>
          <w:szCs w:val="20"/>
          <w:vertAlign w:val="subscript"/>
        </w:rPr>
        <w:t xml:space="preserve"> </w:t>
      </w:r>
      <w:r w:rsidRPr="009E70BC">
        <w:rPr>
          <w:rFonts w:ascii="Garamond" w:hAnsi="Garamond"/>
          <w:sz w:val="20"/>
          <w:szCs w:val="20"/>
        </w:rPr>
        <w:t>as the</w:t>
      </w:r>
      <w:r w:rsidRPr="009E70BC">
        <w:rPr>
          <w:rFonts w:ascii="Garamond" w:hAnsi="Garamond"/>
          <w:sz w:val="20"/>
          <w:szCs w:val="20"/>
          <w:vertAlign w:val="subscript"/>
        </w:rPr>
        <w:t xml:space="preserve"> </w:t>
      </w:r>
      <w:r w:rsidRPr="009E70BC">
        <w:rPr>
          <w:rFonts w:ascii="Garamond" w:hAnsi="Garamond"/>
          <w:sz w:val="20"/>
          <w:szCs w:val="20"/>
        </w:rPr>
        <w:t xml:space="preserve">indicator of true reliability, and Dillon-Goldstein’s </w:t>
      </w:r>
      <w:proofErr w:type="spellStart"/>
      <w:r w:rsidRPr="009E70BC">
        <w:rPr>
          <w:rFonts w:ascii="Garamond" w:hAnsi="Garamond"/>
          <w:sz w:val="20"/>
          <w:szCs w:val="20"/>
        </w:rPr>
        <w:t>rho</w:t>
      </w:r>
      <w:r w:rsidRPr="009E70BC">
        <w:rPr>
          <w:rFonts w:ascii="Garamond" w:hAnsi="Garamond"/>
          <w:sz w:val="20"/>
          <w:szCs w:val="20"/>
          <w:vertAlign w:val="subscript"/>
        </w:rPr>
        <w:t>C</w:t>
      </w:r>
      <w:proofErr w:type="spellEnd"/>
      <w:r w:rsidRPr="009E70BC">
        <w:rPr>
          <w:rFonts w:ascii="Garamond" w:hAnsi="Garamond"/>
          <w:sz w:val="20"/>
          <w:szCs w:val="20"/>
          <w:vertAlign w:val="subscript"/>
        </w:rPr>
        <w:t xml:space="preserve"> </w:t>
      </w:r>
      <w:r w:rsidRPr="009E70BC">
        <w:rPr>
          <w:rFonts w:ascii="Garamond" w:hAnsi="Garamond"/>
          <w:sz w:val="20"/>
          <w:szCs w:val="20"/>
        </w:rPr>
        <w:t>(</w:t>
      </w:r>
      <w:r w:rsidRPr="009E70BC">
        <w:rPr>
          <w:rFonts w:ascii="Cambria Math" w:hAnsi="Cambria Math" w:cs="Cambria Math"/>
          <w:sz w:val="20"/>
          <w:szCs w:val="20"/>
        </w:rPr>
        <w:t>⍴</w:t>
      </w:r>
      <w:r w:rsidRPr="001B46B5">
        <w:rPr>
          <w:rFonts w:ascii="Cambria Math" w:hAnsi="Cambria Math" w:cs="Cambria Math"/>
          <w:sz w:val="20"/>
          <w:szCs w:val="20"/>
          <w:vertAlign w:val="subscript"/>
        </w:rPr>
        <w:t>C</w:t>
      </w:r>
      <w:r w:rsidRPr="009E70BC">
        <w:rPr>
          <w:rFonts w:ascii="Garamond" w:hAnsi="Garamond"/>
          <w:sz w:val="20"/>
          <w:szCs w:val="20"/>
        </w:rPr>
        <w:t>)</w:t>
      </w:r>
      <w:r w:rsidRPr="009E70BC">
        <w:rPr>
          <w:rFonts w:ascii="Garamond" w:hAnsi="Garamond"/>
          <w:sz w:val="20"/>
          <w:szCs w:val="20"/>
          <w:vertAlign w:val="subscript"/>
        </w:rPr>
        <w:t xml:space="preserve"> </w:t>
      </w:r>
      <w:r w:rsidRPr="009E70BC">
        <w:rPr>
          <w:rFonts w:ascii="Garamond" w:hAnsi="Garamond"/>
          <w:sz w:val="20"/>
          <w:szCs w:val="20"/>
        </w:rPr>
        <w:t>as the upper bound. Convergent validity was assessed using average variance extracted (AVE≥0.50)</w:t>
      </w:r>
      <w:proofErr w:type="gramStart"/>
      <w:r w:rsidRPr="009E70BC">
        <w:rPr>
          <w:rFonts w:ascii="Garamond" w:hAnsi="Garamond"/>
          <w:sz w:val="20"/>
          <w:szCs w:val="20"/>
        </w:rPr>
        <w:t>,</w:t>
      </w:r>
      <w:proofErr w:type="gramEnd"/>
      <w:r w:rsidRPr="009E70BC">
        <w:rPr>
          <w:rFonts w:ascii="Garamond" w:hAnsi="Garamond"/>
          <w:sz w:val="20"/>
          <w:szCs w:val="20"/>
        </w:rPr>
        <w:t xml:space="preserve"> the outer loading coefficients with a value closer or 0.7 were included in the analysis. Discriminant validity was assessed using the </w:t>
      </w:r>
      <w:proofErr w:type="spellStart"/>
      <w:r w:rsidRPr="009E70BC">
        <w:rPr>
          <w:rFonts w:ascii="Garamond" w:hAnsi="Garamond"/>
          <w:sz w:val="20"/>
          <w:szCs w:val="20"/>
        </w:rPr>
        <w:t>heterotrait-monotrait</w:t>
      </w:r>
      <w:proofErr w:type="spellEnd"/>
      <w:r w:rsidRPr="009E70BC">
        <w:rPr>
          <w:rFonts w:ascii="Garamond" w:hAnsi="Garamond"/>
          <w:sz w:val="20"/>
          <w:szCs w:val="20"/>
        </w:rPr>
        <w:t xml:space="preserve"> ratio (HTMT</w:t>
      </w:r>
      <w:r w:rsidRPr="009E70BC">
        <w:rPr>
          <w:rFonts w:ascii="Garamond" w:hAnsi="Garamond"/>
          <w:sz w:val="20"/>
          <w:szCs w:val="20"/>
          <w:vertAlign w:val="subscript"/>
        </w:rPr>
        <w:t>85</w:t>
      </w:r>
      <w:r w:rsidRPr="009E70BC">
        <w:rPr>
          <w:rFonts w:ascii="Garamond" w:hAnsi="Garamond"/>
          <w:sz w:val="20"/>
          <w:szCs w:val="20"/>
        </w:rPr>
        <w:t xml:space="preserve"> (HTMT&lt;0.85)) as the more conservative approach and HTMT</w:t>
      </w:r>
      <w:r w:rsidRPr="009E70BC">
        <w:rPr>
          <w:rFonts w:ascii="Garamond" w:hAnsi="Garamond"/>
          <w:sz w:val="20"/>
          <w:szCs w:val="20"/>
          <w:vertAlign w:val="subscript"/>
        </w:rPr>
        <w:t xml:space="preserve">90 </w:t>
      </w:r>
      <w:r w:rsidRPr="009E70BC">
        <w:rPr>
          <w:rFonts w:ascii="Garamond" w:hAnsi="Garamond"/>
          <w:sz w:val="20"/>
          <w:szCs w:val="20"/>
        </w:rPr>
        <w:t xml:space="preserve">(HTMT&lt;90) and </w:t>
      </w:r>
      <w:proofErr w:type="spellStart"/>
      <w:r w:rsidRPr="009E70BC">
        <w:rPr>
          <w:rFonts w:ascii="Garamond" w:hAnsi="Garamond"/>
          <w:sz w:val="20"/>
          <w:szCs w:val="20"/>
        </w:rPr>
        <w:t>HTMT</w:t>
      </w:r>
      <w:r w:rsidRPr="009E70BC">
        <w:rPr>
          <w:rFonts w:ascii="Garamond" w:hAnsi="Garamond"/>
          <w:sz w:val="20"/>
          <w:szCs w:val="20"/>
          <w:vertAlign w:val="subscript"/>
        </w:rPr>
        <w:t>inference</w:t>
      </w:r>
      <w:proofErr w:type="spellEnd"/>
      <w:r w:rsidRPr="009E70BC">
        <w:rPr>
          <w:rFonts w:ascii="Garamond" w:hAnsi="Garamond"/>
          <w:sz w:val="20"/>
          <w:szCs w:val="20"/>
        </w:rPr>
        <w:t xml:space="preserve"> (HTMT &lt;1) as the less conservative approach).</w:t>
      </w:r>
      <w:r>
        <w:rPr>
          <w:rFonts w:ascii="Garamond" w:hAnsi="Garamond"/>
          <w:sz w:val="20"/>
          <w:szCs w:val="20"/>
        </w:rPr>
        <w:t xml:space="preserve"> </w:t>
      </w:r>
    </w:p>
    <w:p w14:paraId="50894BA0" w14:textId="77777777" w:rsidR="0049124A" w:rsidRPr="009E70BC" w:rsidRDefault="0049124A" w:rsidP="0049124A">
      <w:pPr>
        <w:spacing w:line="480" w:lineRule="auto"/>
        <w:jc w:val="both"/>
        <w:rPr>
          <w:rFonts w:ascii="Garamond" w:hAnsi="Garamond"/>
          <w:sz w:val="20"/>
          <w:szCs w:val="20"/>
        </w:rPr>
      </w:pPr>
      <w:r w:rsidRPr="009E70BC">
        <w:rPr>
          <w:rFonts w:ascii="Garamond" w:hAnsi="Garamond"/>
          <w:sz w:val="20"/>
          <w:szCs w:val="20"/>
        </w:rPr>
        <w:t>Step 2: A bootstrapping procedure with the bias-corrected and accelerated (</w:t>
      </w:r>
      <w:proofErr w:type="spellStart"/>
      <w:r w:rsidRPr="009E70BC">
        <w:rPr>
          <w:rFonts w:ascii="Garamond" w:hAnsi="Garamond"/>
          <w:sz w:val="20"/>
          <w:szCs w:val="20"/>
        </w:rPr>
        <w:t>BCa</w:t>
      </w:r>
      <w:proofErr w:type="spellEnd"/>
      <w:r w:rsidRPr="009E70BC">
        <w:rPr>
          <w:rFonts w:ascii="Garamond" w:hAnsi="Garamond"/>
          <w:sz w:val="20"/>
          <w:szCs w:val="20"/>
        </w:rPr>
        <w:t>) bootstrap and 5,000 iterations w</w:t>
      </w:r>
      <w:r>
        <w:rPr>
          <w:rFonts w:ascii="Garamond" w:hAnsi="Garamond"/>
          <w:sz w:val="20"/>
          <w:szCs w:val="20"/>
        </w:rPr>
        <w:t>ere</w:t>
      </w:r>
      <w:r w:rsidRPr="009E70BC">
        <w:rPr>
          <w:rFonts w:ascii="Garamond" w:hAnsi="Garamond"/>
          <w:sz w:val="20"/>
          <w:szCs w:val="20"/>
        </w:rPr>
        <w:t xml:space="preserve"> conducted to estimate confidence intervals, standard errors and to compute inference statistics (t-values=t-statistics).</w:t>
      </w:r>
      <w:r w:rsidRPr="009E70BC" w:rsidDel="000C543D">
        <w:rPr>
          <w:rFonts w:ascii="Garamond" w:hAnsi="Garamond"/>
          <w:sz w:val="20"/>
          <w:szCs w:val="20"/>
        </w:rPr>
        <w:t xml:space="preserve"> </w:t>
      </w:r>
    </w:p>
    <w:p w14:paraId="3E270E65" w14:textId="77777777" w:rsidR="0049124A" w:rsidRPr="009E70BC" w:rsidRDefault="0049124A" w:rsidP="0049124A">
      <w:pPr>
        <w:spacing w:line="480" w:lineRule="auto"/>
        <w:jc w:val="both"/>
        <w:rPr>
          <w:rFonts w:ascii="Garamond" w:hAnsi="Garamond"/>
          <w:b/>
          <w:sz w:val="20"/>
          <w:szCs w:val="20"/>
        </w:rPr>
      </w:pPr>
      <w:r w:rsidRPr="009E70BC">
        <w:rPr>
          <w:rFonts w:ascii="Garamond" w:hAnsi="Garamond"/>
          <w:b/>
          <w:sz w:val="20"/>
          <w:szCs w:val="20"/>
        </w:rPr>
        <w:t>The inner model (structural)</w:t>
      </w:r>
    </w:p>
    <w:p w14:paraId="7B60074A" w14:textId="77777777" w:rsidR="0049124A" w:rsidRDefault="0049124A" w:rsidP="0049124A">
      <w:pPr>
        <w:spacing w:line="480" w:lineRule="auto"/>
        <w:jc w:val="both"/>
        <w:rPr>
          <w:rFonts w:ascii="Garamond" w:hAnsi="Garamond" w:cstheme="minorHAnsi"/>
          <w:sz w:val="20"/>
          <w:szCs w:val="20"/>
        </w:rPr>
      </w:pPr>
      <w:r w:rsidRPr="009E70BC">
        <w:rPr>
          <w:rFonts w:ascii="Garamond" w:hAnsi="Garamond"/>
          <w:sz w:val="20"/>
          <w:szCs w:val="20"/>
        </w:rPr>
        <w:t xml:space="preserve">Step 3: The assessment of the structural model was performed looking at the </w:t>
      </w:r>
      <w:proofErr w:type="spellStart"/>
      <w:r w:rsidRPr="009E70BC">
        <w:rPr>
          <w:rFonts w:ascii="Garamond" w:hAnsi="Garamond"/>
          <w:sz w:val="20"/>
          <w:szCs w:val="20"/>
        </w:rPr>
        <w:t>collinearity</w:t>
      </w:r>
      <w:proofErr w:type="spellEnd"/>
      <w:r w:rsidRPr="009E70BC">
        <w:rPr>
          <w:rFonts w:ascii="Garamond" w:hAnsi="Garamond"/>
          <w:sz w:val="20"/>
          <w:szCs w:val="20"/>
        </w:rPr>
        <w:t xml:space="preserve"> among constructs, using the variance </w:t>
      </w:r>
      <w:r w:rsidRPr="009E70BC">
        <w:rPr>
          <w:rFonts w:ascii="Garamond" w:hAnsi="Garamond" w:cstheme="minorHAnsi"/>
          <w:sz w:val="20"/>
          <w:szCs w:val="20"/>
        </w:rPr>
        <w:t xml:space="preserve">inflation factor (VIF) which is indicating the level of </w:t>
      </w:r>
      <w:proofErr w:type="spellStart"/>
      <w:r w:rsidRPr="009E70BC">
        <w:rPr>
          <w:rFonts w:ascii="Garamond" w:hAnsi="Garamond" w:cstheme="minorHAnsi"/>
          <w:sz w:val="20"/>
          <w:szCs w:val="20"/>
        </w:rPr>
        <w:t>collinearity</w:t>
      </w:r>
      <w:proofErr w:type="spellEnd"/>
      <w:r w:rsidRPr="009E70BC">
        <w:rPr>
          <w:rFonts w:ascii="Garamond" w:hAnsi="Garamond" w:cstheme="minorHAnsi"/>
          <w:sz w:val="20"/>
          <w:szCs w:val="20"/>
        </w:rPr>
        <w:t xml:space="preserve">; for example, when two constructs are highly correlated. The critical value of VIF is 5, but when it is &gt;3, it requires cautions as well. Therefore, low VIF values (&lt;3) represent good values. </w:t>
      </w:r>
    </w:p>
    <w:p w14:paraId="2E04907A" w14:textId="77777777" w:rsidR="0049124A" w:rsidRDefault="0049124A" w:rsidP="0049124A">
      <w:pPr>
        <w:spacing w:line="480" w:lineRule="auto"/>
        <w:jc w:val="both"/>
        <w:rPr>
          <w:rFonts w:ascii="Garamond" w:hAnsi="Garamond"/>
          <w:sz w:val="20"/>
          <w:szCs w:val="20"/>
        </w:rPr>
      </w:pPr>
      <w:r w:rsidRPr="009E70BC">
        <w:rPr>
          <w:rFonts w:ascii="Garamond" w:hAnsi="Garamond" w:cstheme="minorHAnsi"/>
          <w:sz w:val="20"/>
          <w:szCs w:val="20"/>
        </w:rPr>
        <w:lastRenderedPageBreak/>
        <w:t>Step 4: T</w:t>
      </w:r>
      <w:r w:rsidRPr="009E70BC">
        <w:rPr>
          <w:rFonts w:ascii="Garamond" w:hAnsi="Garamond"/>
          <w:sz w:val="20"/>
          <w:szCs w:val="20"/>
        </w:rPr>
        <w:t>he statistical significance of the path coefficients (standardised beta), the direction of the effect showed by the arrow, and the relevance of the path coefficients were assessed using the direct, indirect and total effect.</w:t>
      </w:r>
      <w:r>
        <w:rPr>
          <w:rFonts w:ascii="Garamond" w:hAnsi="Garamond"/>
          <w:sz w:val="20"/>
          <w:szCs w:val="20"/>
        </w:rPr>
        <w:t xml:space="preserve"> </w:t>
      </w:r>
    </w:p>
    <w:p w14:paraId="0027760F" w14:textId="77777777" w:rsidR="0049124A" w:rsidRDefault="0049124A" w:rsidP="0049124A">
      <w:pPr>
        <w:spacing w:line="480" w:lineRule="auto"/>
        <w:jc w:val="both"/>
        <w:rPr>
          <w:rFonts w:ascii="Garamond" w:hAnsi="Garamond"/>
          <w:sz w:val="20"/>
          <w:szCs w:val="20"/>
        </w:rPr>
      </w:pPr>
      <w:r w:rsidRPr="009E70BC">
        <w:rPr>
          <w:rFonts w:ascii="Garamond" w:hAnsi="Garamond"/>
          <w:sz w:val="20"/>
          <w:szCs w:val="20"/>
        </w:rPr>
        <w:t xml:space="preserve">Step 5: The in-sample prediction was used for the entire data to estimate the model and to predict observation from the data </w:t>
      </w:r>
      <w:proofErr w:type="gramStart"/>
      <w:r w:rsidRPr="009E70BC">
        <w:rPr>
          <w:rFonts w:ascii="Garamond" w:hAnsi="Garamond"/>
          <w:sz w:val="20"/>
          <w:szCs w:val="20"/>
        </w:rPr>
        <w:t>sets,</w:t>
      </w:r>
      <w:proofErr w:type="gramEnd"/>
      <w:r w:rsidRPr="009E70BC">
        <w:rPr>
          <w:rFonts w:ascii="Garamond" w:hAnsi="Garamond"/>
          <w:sz w:val="20"/>
          <w:szCs w:val="20"/>
        </w:rPr>
        <w:t xml:space="preserve"> the values for this estimate were the coefficients of determination (R</w:t>
      </w:r>
      <w:r w:rsidRPr="009E70BC">
        <w:rPr>
          <w:rFonts w:ascii="Garamond" w:hAnsi="Garamond"/>
          <w:sz w:val="20"/>
          <w:szCs w:val="20"/>
          <w:vertAlign w:val="superscript"/>
        </w:rPr>
        <w:t>2</w:t>
      </w:r>
      <w:r w:rsidRPr="009E70BC">
        <w:rPr>
          <w:rFonts w:ascii="Garamond" w:hAnsi="Garamond"/>
          <w:sz w:val="20"/>
          <w:szCs w:val="20"/>
        </w:rPr>
        <w:t>) and their effect size (f</w:t>
      </w:r>
      <w:r w:rsidRPr="009E70BC">
        <w:rPr>
          <w:rFonts w:ascii="Garamond" w:hAnsi="Garamond"/>
          <w:sz w:val="20"/>
          <w:szCs w:val="20"/>
          <w:vertAlign w:val="superscript"/>
        </w:rPr>
        <w:t>2</w:t>
      </w:r>
      <w:r w:rsidRPr="009E70BC">
        <w:rPr>
          <w:rFonts w:ascii="Garamond" w:hAnsi="Garamond"/>
          <w:sz w:val="20"/>
          <w:szCs w:val="20"/>
        </w:rPr>
        <w:t>).</w:t>
      </w:r>
      <w:r>
        <w:rPr>
          <w:rFonts w:ascii="Garamond" w:hAnsi="Garamond"/>
          <w:sz w:val="20"/>
          <w:szCs w:val="20"/>
        </w:rPr>
        <w:t xml:space="preserve"> </w:t>
      </w:r>
    </w:p>
    <w:p w14:paraId="04E8D9D8" w14:textId="77777777" w:rsidR="0049124A" w:rsidRPr="00E309D6" w:rsidRDefault="0049124A" w:rsidP="0049124A">
      <w:pPr>
        <w:spacing w:line="480" w:lineRule="auto"/>
        <w:jc w:val="both"/>
        <w:rPr>
          <w:rFonts w:ascii="Garamond" w:hAnsi="Garamond"/>
          <w:sz w:val="20"/>
          <w:szCs w:val="20"/>
        </w:rPr>
      </w:pPr>
      <w:r w:rsidRPr="009E70BC">
        <w:rPr>
          <w:rFonts w:ascii="Garamond" w:hAnsi="Garamond"/>
          <w:sz w:val="20"/>
          <w:szCs w:val="20"/>
        </w:rPr>
        <w:t xml:space="preserve">Step 6: The out-of-sample prediction was conducted using </w:t>
      </w:r>
      <w:proofErr w:type="spellStart"/>
      <w:r w:rsidRPr="009E70BC">
        <w:rPr>
          <w:rFonts w:ascii="Garamond" w:hAnsi="Garamond"/>
          <w:sz w:val="20"/>
          <w:szCs w:val="20"/>
        </w:rPr>
        <w:t>PLSpredict</w:t>
      </w:r>
      <w:proofErr w:type="spellEnd"/>
      <w:r w:rsidRPr="009E70BC">
        <w:rPr>
          <w:rFonts w:ascii="Garamond" w:hAnsi="Garamond"/>
          <w:sz w:val="20"/>
          <w:szCs w:val="20"/>
        </w:rPr>
        <w:t xml:space="preserve"> using the model estimates to predict new observation (e.g. future observation, holdout sample).</w:t>
      </w:r>
      <w:r>
        <w:rPr>
          <w:rFonts w:ascii="Garamond" w:hAnsi="Garamond"/>
          <w:sz w:val="20"/>
          <w:szCs w:val="20"/>
        </w:rPr>
        <w:t xml:space="preserve"> </w:t>
      </w:r>
      <w:r w:rsidRPr="00E309D6">
        <w:rPr>
          <w:rFonts w:ascii="Garamond" w:hAnsi="Garamond" w:cstheme="minorHAnsi"/>
          <w:sz w:val="20"/>
          <w:szCs w:val="20"/>
        </w:rPr>
        <w:t xml:space="preserve">PLS predict </w:t>
      </w:r>
      <w:r>
        <w:rPr>
          <w:rFonts w:ascii="Garamond" w:hAnsi="Garamond" w:cstheme="minorHAnsi"/>
          <w:sz w:val="20"/>
          <w:szCs w:val="20"/>
        </w:rPr>
        <w:t>r</w:t>
      </w:r>
      <w:r w:rsidRPr="00E309D6">
        <w:rPr>
          <w:rFonts w:ascii="Garamond" w:hAnsi="Garamond" w:cstheme="minorHAnsi"/>
          <w:sz w:val="20"/>
          <w:szCs w:val="20"/>
        </w:rPr>
        <w:t>ests on the principle of K-fold cross-validation. The procedure splits the data set into K equal parts (K=10 in our case) and estimate the model K-times on K-1 data sets using r as the number of repetition (r=10 in our case because it is a good trade-off between accuracy and running</w:t>
      </w:r>
      <w:r>
        <w:rPr>
          <w:rFonts w:ascii="Garamond" w:hAnsi="Garamond" w:cstheme="minorHAnsi"/>
          <w:sz w:val="20"/>
          <w:szCs w:val="20"/>
        </w:rPr>
        <w:t xml:space="preserve"> </w:t>
      </w:r>
      <w:r w:rsidRPr="00E309D6">
        <w:rPr>
          <w:rFonts w:ascii="Garamond" w:hAnsi="Garamond" w:cstheme="minorHAnsi"/>
          <w:sz w:val="20"/>
          <w:szCs w:val="20"/>
        </w:rPr>
        <w:t xml:space="preserve">time). In this case if </w:t>
      </w:r>
      <w:r>
        <w:rPr>
          <w:rFonts w:ascii="Garamond" w:hAnsi="Garamond" w:cstheme="minorHAnsi"/>
          <w:sz w:val="20"/>
          <w:szCs w:val="20"/>
        </w:rPr>
        <w:t>the predictive relevance (</w:t>
      </w:r>
      <w:r w:rsidRPr="00E309D6">
        <w:rPr>
          <w:rFonts w:ascii="Garamond" w:hAnsi="Garamond" w:cstheme="minorHAnsi"/>
          <w:sz w:val="20"/>
          <w:szCs w:val="20"/>
        </w:rPr>
        <w:t>Q</w:t>
      </w:r>
      <w:r w:rsidRPr="00E309D6">
        <w:rPr>
          <w:rFonts w:ascii="Garamond" w:hAnsi="Garamond" w:cstheme="minorHAnsi"/>
          <w:sz w:val="20"/>
          <w:szCs w:val="20"/>
          <w:vertAlign w:val="superscript"/>
        </w:rPr>
        <w:t>2</w:t>
      </w:r>
      <w:r w:rsidRPr="00B86B01">
        <w:rPr>
          <w:rFonts w:ascii="Garamond" w:hAnsi="Garamond" w:cstheme="minorHAnsi"/>
          <w:sz w:val="20"/>
          <w:szCs w:val="20"/>
        </w:rPr>
        <w:t>)</w:t>
      </w:r>
      <w:r w:rsidRPr="00E309D6">
        <w:rPr>
          <w:rFonts w:ascii="Garamond" w:hAnsi="Garamond" w:cstheme="minorHAnsi"/>
          <w:sz w:val="20"/>
          <w:szCs w:val="20"/>
        </w:rPr>
        <w:t xml:space="preserve"> &gt;0 the model outperform</w:t>
      </w:r>
      <w:r>
        <w:rPr>
          <w:rFonts w:ascii="Garamond" w:hAnsi="Garamond" w:cstheme="minorHAnsi"/>
          <w:sz w:val="20"/>
          <w:szCs w:val="20"/>
        </w:rPr>
        <w:t>s</w:t>
      </w:r>
      <w:r w:rsidRPr="00E309D6">
        <w:rPr>
          <w:rFonts w:ascii="Garamond" w:hAnsi="Garamond" w:cstheme="minorHAnsi"/>
          <w:sz w:val="20"/>
          <w:szCs w:val="20"/>
        </w:rPr>
        <w:t xml:space="preserve"> the most naive benchmark such as the comparison between the root mean squared error of prediction (RMSE) values obtained with </w:t>
      </w:r>
      <w:proofErr w:type="spellStart"/>
      <w:r w:rsidRPr="00E309D6">
        <w:rPr>
          <w:rFonts w:ascii="Garamond" w:hAnsi="Garamond" w:cstheme="minorHAnsi"/>
          <w:sz w:val="20"/>
          <w:szCs w:val="20"/>
        </w:rPr>
        <w:t>PLSpredict</w:t>
      </w:r>
      <w:proofErr w:type="spellEnd"/>
      <w:r w:rsidRPr="00E309D6">
        <w:rPr>
          <w:rFonts w:ascii="Garamond" w:hAnsi="Garamond" w:cstheme="minorHAnsi"/>
          <w:sz w:val="20"/>
          <w:szCs w:val="20"/>
        </w:rPr>
        <w:t xml:space="preserve"> versus the RMSE values obtained with a linear model (LM). If the RMSE (PLS) yields higher prediction errors in terms of RMSE for all values this means no predictive power, the majority (low predictive power), the minority or the same (medium predictive power) none of the indicators (high predictive power).</w:t>
      </w:r>
    </w:p>
    <w:p w14:paraId="05984972" w14:textId="77777777" w:rsidR="00AA326D" w:rsidRPr="0049124A" w:rsidRDefault="00AA326D" w:rsidP="0049124A">
      <w:bookmarkStart w:id="0" w:name="_GoBack"/>
      <w:bookmarkEnd w:id="0"/>
    </w:p>
    <w:sectPr w:rsidR="00AA326D" w:rsidRPr="00491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MS PMincho"/>
    <w:panose1 w:val="02020404030301010803"/>
    <w:charset w:val="00"/>
    <w:family w:val="roman"/>
    <w:pitch w:val="variable"/>
    <w:sig w:usb0="00000001"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MysjQxNjAzMzE0NzZX0lEKTi0uzszPAykwrQUAysYWNiwAAAA="/>
  </w:docVars>
  <w:rsids>
    <w:rsidRoot w:val="00AA326D"/>
    <w:rsid w:val="00133E8A"/>
    <w:rsid w:val="001B46B5"/>
    <w:rsid w:val="001E1626"/>
    <w:rsid w:val="003B4648"/>
    <w:rsid w:val="0049124A"/>
    <w:rsid w:val="00615AC0"/>
    <w:rsid w:val="007947B2"/>
    <w:rsid w:val="007C19FD"/>
    <w:rsid w:val="00930D59"/>
    <w:rsid w:val="00A226E8"/>
    <w:rsid w:val="00AA326D"/>
    <w:rsid w:val="00AA431A"/>
    <w:rsid w:val="00B30A23"/>
    <w:rsid w:val="00B37BF3"/>
    <w:rsid w:val="00B82B93"/>
    <w:rsid w:val="00B86B01"/>
    <w:rsid w:val="00BD7427"/>
    <w:rsid w:val="00BE1812"/>
    <w:rsid w:val="00C6536D"/>
    <w:rsid w:val="00CF271D"/>
    <w:rsid w:val="00CF2E0D"/>
    <w:rsid w:val="00E309D6"/>
    <w:rsid w:val="00E84768"/>
    <w:rsid w:val="00FC065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A326D"/>
    <w:pPr>
      <w:spacing w:after="0" w:line="240" w:lineRule="auto"/>
    </w:pPr>
    <w:rPr>
      <w:rFonts w:ascii="Segoe UI" w:hAnsi="Segoe UI" w:cs="Segoe UI"/>
      <w:sz w:val="18"/>
      <w:szCs w:val="18"/>
    </w:rPr>
  </w:style>
  <w:style w:type="character" w:customStyle="1" w:styleId="Char">
    <w:name w:val="풍선 도움말 텍스트 Char"/>
    <w:basedOn w:val="a0"/>
    <w:link w:val="a3"/>
    <w:uiPriority w:val="99"/>
    <w:semiHidden/>
    <w:rsid w:val="00AA326D"/>
    <w:rPr>
      <w:rFonts w:ascii="Segoe UI" w:hAnsi="Segoe UI" w:cs="Segoe UI"/>
      <w:sz w:val="18"/>
      <w:szCs w:val="18"/>
    </w:rPr>
  </w:style>
  <w:style w:type="character" w:styleId="a4">
    <w:name w:val="annotation reference"/>
    <w:basedOn w:val="a0"/>
    <w:uiPriority w:val="99"/>
    <w:semiHidden/>
    <w:unhideWhenUsed/>
    <w:rsid w:val="00AA326D"/>
    <w:rPr>
      <w:sz w:val="16"/>
      <w:szCs w:val="16"/>
    </w:rPr>
  </w:style>
  <w:style w:type="paragraph" w:styleId="a5">
    <w:name w:val="annotation text"/>
    <w:basedOn w:val="a"/>
    <w:link w:val="Char0"/>
    <w:uiPriority w:val="99"/>
    <w:unhideWhenUsed/>
    <w:rsid w:val="00AA326D"/>
    <w:pPr>
      <w:spacing w:after="0" w:line="240" w:lineRule="auto"/>
    </w:pPr>
    <w:rPr>
      <w:sz w:val="20"/>
      <w:szCs w:val="20"/>
    </w:rPr>
  </w:style>
  <w:style w:type="character" w:customStyle="1" w:styleId="Char0">
    <w:name w:val="메모 텍스트 Char"/>
    <w:basedOn w:val="a0"/>
    <w:link w:val="a5"/>
    <w:uiPriority w:val="99"/>
    <w:rsid w:val="00AA326D"/>
    <w:rPr>
      <w:sz w:val="20"/>
      <w:szCs w:val="20"/>
    </w:rPr>
  </w:style>
  <w:style w:type="character" w:styleId="a6">
    <w:name w:val="Hyperlink"/>
    <w:basedOn w:val="a0"/>
    <w:uiPriority w:val="99"/>
    <w:unhideWhenUsed/>
    <w:rsid w:val="00AA326D"/>
    <w:rPr>
      <w:color w:val="0563C1" w:themeColor="hyperlink"/>
      <w:u w:val="single"/>
    </w:rPr>
  </w:style>
  <w:style w:type="paragraph" w:styleId="a7">
    <w:name w:val="Normal (Web)"/>
    <w:basedOn w:val="a"/>
    <w:uiPriority w:val="99"/>
    <w:unhideWhenUsed/>
    <w:rsid w:val="00AA3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A326D"/>
  </w:style>
  <w:style w:type="character" w:styleId="a8">
    <w:name w:val="Strong"/>
    <w:basedOn w:val="a0"/>
    <w:uiPriority w:val="22"/>
    <w:qFormat/>
    <w:rsid w:val="00AA326D"/>
    <w:rPr>
      <w:b/>
      <w:bCs/>
    </w:rPr>
  </w:style>
  <w:style w:type="character" w:styleId="a9">
    <w:name w:val="Emphasis"/>
    <w:basedOn w:val="a0"/>
    <w:uiPriority w:val="20"/>
    <w:qFormat/>
    <w:rsid w:val="00AA32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A326D"/>
    <w:pPr>
      <w:spacing w:after="0" w:line="240" w:lineRule="auto"/>
    </w:pPr>
    <w:rPr>
      <w:rFonts w:ascii="Segoe UI" w:hAnsi="Segoe UI" w:cs="Segoe UI"/>
      <w:sz w:val="18"/>
      <w:szCs w:val="18"/>
    </w:rPr>
  </w:style>
  <w:style w:type="character" w:customStyle="1" w:styleId="Char">
    <w:name w:val="풍선 도움말 텍스트 Char"/>
    <w:basedOn w:val="a0"/>
    <w:link w:val="a3"/>
    <w:uiPriority w:val="99"/>
    <w:semiHidden/>
    <w:rsid w:val="00AA326D"/>
    <w:rPr>
      <w:rFonts w:ascii="Segoe UI" w:hAnsi="Segoe UI" w:cs="Segoe UI"/>
      <w:sz w:val="18"/>
      <w:szCs w:val="18"/>
    </w:rPr>
  </w:style>
  <w:style w:type="character" w:styleId="a4">
    <w:name w:val="annotation reference"/>
    <w:basedOn w:val="a0"/>
    <w:uiPriority w:val="99"/>
    <w:semiHidden/>
    <w:unhideWhenUsed/>
    <w:rsid w:val="00AA326D"/>
    <w:rPr>
      <w:sz w:val="16"/>
      <w:szCs w:val="16"/>
    </w:rPr>
  </w:style>
  <w:style w:type="paragraph" w:styleId="a5">
    <w:name w:val="annotation text"/>
    <w:basedOn w:val="a"/>
    <w:link w:val="Char0"/>
    <w:uiPriority w:val="99"/>
    <w:unhideWhenUsed/>
    <w:rsid w:val="00AA326D"/>
    <w:pPr>
      <w:spacing w:after="0" w:line="240" w:lineRule="auto"/>
    </w:pPr>
    <w:rPr>
      <w:sz w:val="20"/>
      <w:szCs w:val="20"/>
    </w:rPr>
  </w:style>
  <w:style w:type="character" w:customStyle="1" w:styleId="Char0">
    <w:name w:val="메모 텍스트 Char"/>
    <w:basedOn w:val="a0"/>
    <w:link w:val="a5"/>
    <w:uiPriority w:val="99"/>
    <w:rsid w:val="00AA326D"/>
    <w:rPr>
      <w:sz w:val="20"/>
      <w:szCs w:val="20"/>
    </w:rPr>
  </w:style>
  <w:style w:type="character" w:styleId="a6">
    <w:name w:val="Hyperlink"/>
    <w:basedOn w:val="a0"/>
    <w:uiPriority w:val="99"/>
    <w:unhideWhenUsed/>
    <w:rsid w:val="00AA326D"/>
    <w:rPr>
      <w:color w:val="0563C1" w:themeColor="hyperlink"/>
      <w:u w:val="single"/>
    </w:rPr>
  </w:style>
  <w:style w:type="paragraph" w:styleId="a7">
    <w:name w:val="Normal (Web)"/>
    <w:basedOn w:val="a"/>
    <w:uiPriority w:val="99"/>
    <w:unhideWhenUsed/>
    <w:rsid w:val="00AA3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A326D"/>
  </w:style>
  <w:style w:type="character" w:styleId="a8">
    <w:name w:val="Strong"/>
    <w:basedOn w:val="a0"/>
    <w:uiPriority w:val="22"/>
    <w:qFormat/>
    <w:rsid w:val="00AA326D"/>
    <w:rPr>
      <w:b/>
      <w:bCs/>
    </w:rPr>
  </w:style>
  <w:style w:type="character" w:styleId="a9">
    <w:name w:val="Emphasis"/>
    <w:basedOn w:val="a0"/>
    <w:uiPriority w:val="20"/>
    <w:qFormat/>
    <w:rsid w:val="00AA32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DDFED16AEAF4798984099A3BE29CF" ma:contentTypeVersion="11" ma:contentTypeDescription="Create a new document." ma:contentTypeScope="" ma:versionID="c8d2bda3db5f3d7007b0d481324c37da">
  <xsd:schema xmlns:xsd="http://www.w3.org/2001/XMLSchema" xmlns:xs="http://www.w3.org/2001/XMLSchema" xmlns:p="http://schemas.microsoft.com/office/2006/metadata/properties" xmlns:ns3="97aa2752-724b-41a3-bbab-46b0877eeb91" xmlns:ns4="303b8205-466a-4a00-8029-ac138af710b9" targetNamespace="http://schemas.microsoft.com/office/2006/metadata/properties" ma:root="true" ma:fieldsID="aaf2e5073e11ede64c711907c1fa3447" ns3:_="" ns4:_="">
    <xsd:import namespace="97aa2752-724b-41a3-bbab-46b0877eeb91"/>
    <xsd:import namespace="303b8205-466a-4a00-8029-ac138af710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a2752-724b-41a3-bbab-46b0877ee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3b8205-466a-4a00-8029-ac138af710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2256A-C0E3-44C8-92F3-FA055E3BB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a2752-724b-41a3-bbab-46b0877eeb91"/>
    <ds:schemaRef ds:uri="303b8205-466a-4a00-8029-ac138af71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BDE53C-F5B8-465F-B6CE-6EFCCAB667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C4EE84-1FDD-414A-A9A4-66BFE57E5B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2937</Characters>
  <Application>Microsoft Office Word</Application>
  <DocSecurity>0</DocSecurity>
  <Lines>24</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Manfrin &lt;School of Pharmacy &amp; Biomedical Sciences&gt;</dc:creator>
  <cp:lastModifiedBy>ara</cp:lastModifiedBy>
  <cp:revision>2</cp:revision>
  <dcterms:created xsi:type="dcterms:W3CDTF">2019-11-13T01:24:00Z</dcterms:created>
  <dcterms:modified xsi:type="dcterms:W3CDTF">2019-11-13T01:24:00Z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0x010100ACFDDFED16AEAF4798984099A3BE29CF</vt:lpwstr>
  </property>
</Properties>
</file>